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90B9" w14:textId="04496C1D" w:rsidR="00000000" w:rsidRPr="00DE4E3A" w:rsidRDefault="00DE4E3A">
      <w:pPr>
        <w:rPr>
          <w:rFonts w:ascii="Times New Roman" w:hAnsi="Times New Roman" w:cs="Times New Roman"/>
        </w:rPr>
      </w:pPr>
      <w:r w:rsidRPr="00DE4E3A">
        <w:rPr>
          <w:rFonts w:ascii="Times New Roman" w:hAnsi="Times New Roman" w:cs="Times New Roman"/>
        </w:rPr>
        <w:t>Bibliografie Revolutionserinnerung</w:t>
      </w:r>
    </w:p>
    <w:p w14:paraId="207954F8" w14:textId="77777777" w:rsidR="00DE4E3A" w:rsidRPr="00DE4E3A" w:rsidRDefault="00DE4E3A">
      <w:pPr>
        <w:rPr>
          <w:rFonts w:ascii="Times New Roman" w:hAnsi="Times New Roman" w:cs="Times New Roman"/>
        </w:rPr>
      </w:pPr>
    </w:p>
    <w:p w14:paraId="2C12B600" w14:textId="50483E7E" w:rsidR="00DE4E3A" w:rsidRPr="00DE4E3A" w:rsidRDefault="00DE4E3A">
      <w:pPr>
        <w:rPr>
          <w:rFonts w:ascii="Times New Roman" w:hAnsi="Times New Roman" w:cs="Times New Roman"/>
        </w:rPr>
      </w:pPr>
      <w:r w:rsidRPr="00DE4E3A">
        <w:rPr>
          <w:rFonts w:ascii="Times New Roman" w:hAnsi="Times New Roman" w:cs="Times New Roman"/>
        </w:rPr>
        <w:t>Von Ekaterina Makhotina:</w:t>
      </w:r>
    </w:p>
    <w:p w14:paraId="73622B9E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Politik, Unterhaltung und Personalisierung: "Der Tag des Sieges" in Russland 2015-2021. In: Christine Gundermann (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Hg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.): Historische Jubiläen = Geschichtsdidaktik diskursiv - Public 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History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 und Historisches Denken. Peter Lang Verlag 2022.</w:t>
      </w:r>
    </w:p>
    <w:p w14:paraId="18304CC1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val="en-US" w:eastAsia="de-DE"/>
          <w14:ligatures w14:val="none"/>
        </w:rPr>
        <w:t>(</w:t>
      </w:r>
      <w:proofErr w:type="spellStart"/>
      <w:proofErr w:type="gramStart"/>
      <w:r w:rsidRPr="00DE4E3A">
        <w:rPr>
          <w:rFonts w:ascii="Times New Roman" w:eastAsia="Times New Roman" w:hAnsi="Times New Roman" w:cs="Times New Roman"/>
          <w:color w:val="1A181B"/>
          <w:kern w:val="0"/>
          <w:lang w:val="en-US" w:eastAsia="de-DE"/>
          <w14:ligatures w14:val="none"/>
        </w:rPr>
        <w:t>zusammen</w:t>
      </w:r>
      <w:proofErr w:type="spellEnd"/>
      <w:proofErr w:type="gramEnd"/>
      <w:r w:rsidRPr="00DE4E3A">
        <w:rPr>
          <w:rFonts w:ascii="Times New Roman" w:eastAsia="Times New Roman" w:hAnsi="Times New Roman" w:cs="Times New Roman"/>
          <w:color w:val="1A181B"/>
          <w:kern w:val="0"/>
          <w:lang w:val="en-US" w:eastAsia="de-DE"/>
          <w14:ligatures w14:val="none"/>
        </w:rPr>
        <w:t xml:space="preserve"> 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val="en-US" w:eastAsia="de-DE"/>
          <w14:ligatures w14:val="none"/>
        </w:rPr>
        <w:t>mit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val="en-US" w:eastAsia="de-DE"/>
          <w14:ligatures w14:val="none"/>
        </w:rPr>
        <w:t xml:space="preserve"> Philipp 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val="en-US" w:eastAsia="de-DE"/>
          <w14:ligatures w14:val="none"/>
        </w:rPr>
        <w:t>Bürger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val="en-US" w:eastAsia="de-DE"/>
          <w14:ligatures w14:val="none"/>
        </w:rPr>
        <w:t xml:space="preserve">): Making (monumental) Sense of War: Memorials of the “Great Patriotic War” 1941 - 1945 in the Soviet Union and in post-Soviet Russia. In: The Political Cult of the Dead in Ukraine. Traditions and Dimensions from Soviet Times to Today / Ed. by Guido Hausmann and Iryna 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val="en-US" w:eastAsia="de-DE"/>
          <w14:ligatures w14:val="none"/>
        </w:rPr>
        <w:t>Sklokina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val="en-US" w:eastAsia="de-DE"/>
          <w14:ligatures w14:val="none"/>
        </w:rPr>
        <w:t xml:space="preserve">. </w:t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Göttingen 2021.</w:t>
      </w:r>
    </w:p>
    <w:p w14:paraId="0FFD4170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Versprechen der Vergangenheit. Sowjetzeit in Geschichtspolitik und kollektiver Erinnerung in Russland nach 1991. In: Rüthers, Monika (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Hg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.): Gute Erinnerungen an böse Zeiten </w:t>
      </w:r>
      <w:proofErr w:type="gram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–,Nostalgie</w:t>
      </w:r>
      <w:proofErr w:type="gram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 in „posttotalitären“ Erinnerungsdiskursen nach 1945 und 1989. München 2021, S. 175-198.</w:t>
      </w:r>
    </w:p>
    <w:p w14:paraId="01C41772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val="en-US"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val="en-US" w:eastAsia="de-DE"/>
          <w14:ligatures w14:val="none"/>
        </w:rPr>
        <w:t xml:space="preserve">Between "Europe" and Russian "Sonderweg", between "Empire" and "Nation": historiography, politics of history and discussion within society in Russia. In: 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val="en-US" w:eastAsia="de-DE"/>
          <w14:ligatures w14:val="none"/>
        </w:rPr>
        <w:t>Maissen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val="en-US" w:eastAsia="de-DE"/>
          <w14:ligatures w14:val="none"/>
        </w:rPr>
        <w:t>, Thomas (Ed.): New Nationalism(s) and Historiography. Routledge 2021, pp.250-269.</w:t>
      </w:r>
    </w:p>
    <w:p w14:paraId="2F62CD5E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Ein "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victim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 turn?": Gesellschaftliche und staatliche Formen der Opfererinnerung in Russland. In: Totalitarismus und Demokratie. Zeitschrift für internationale Diktatur- und Freiheitsforschung. Dresden 2019. S. 61-74.</w:t>
      </w:r>
    </w:p>
    <w:p w14:paraId="0CCBDECD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Sandarmoch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 (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Gnose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, 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Dekoder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, 2018). 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fldChar w:fldCharType="begin"/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instrText>HYPERLINK "https://www.dekoder.org/de/gnose/sandarmoch-gedenkstaette-terror-zwangsarbeit" \o "" \t "_blank"</w:instrText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fldChar w:fldCharType="separate"/>
      </w:r>
      <w:r w:rsidRPr="00DE4E3A">
        <w:rPr>
          <w:rFonts w:ascii="Times New Roman" w:eastAsia="Times New Roman" w:hAnsi="Times New Roman" w:cs="Times New Roman"/>
          <w:color w:val="07529A"/>
          <w:kern w:val="0"/>
          <w:u w:val="single"/>
          <w:lang w:eastAsia="de-DE"/>
          <w14:ligatures w14:val="none"/>
        </w:rPr>
        <w:t>Full</w:t>
      </w:r>
      <w:proofErr w:type="spellEnd"/>
      <w:r w:rsidRPr="00DE4E3A">
        <w:rPr>
          <w:rFonts w:ascii="Times New Roman" w:eastAsia="Times New Roman" w:hAnsi="Times New Roman" w:cs="Times New Roman"/>
          <w:color w:val="07529A"/>
          <w:kern w:val="0"/>
          <w:u w:val="single"/>
          <w:lang w:eastAsia="de-DE"/>
          <w14:ligatures w14:val="none"/>
        </w:rPr>
        <w:t xml:space="preserve"> Text</w:t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fldChar w:fldCharType="end"/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.</w:t>
      </w:r>
    </w:p>
    <w:p w14:paraId="042F128D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Hunger in Tagebüchern über die Leningrader Belagerung. In: Eisfeld, Alfred, Hausmann, Guido, 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Neutatz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, Dietmar (Hrsg.): Hungersnöte und Epidemien in Russland und in der Sowjetunion. Regionale, ethnische und konfessionelle Aspekte. Essen 2017. S. 119-140.</w:t>
      </w:r>
    </w:p>
    <w:p w14:paraId="1CE767EB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val="en-US" w:eastAsia="de-DE"/>
          <w14:ligatures w14:val="none"/>
        </w:rPr>
        <w:t>Nostalgia, Pride and Shame: The many Faces of Stalin in contemporary Russia, In: Cultures of History Forum. </w:t>
      </w:r>
      <w:hyperlink r:id="rId5" w:tgtFrame="_blank" w:history="1">
        <w:proofErr w:type="spellStart"/>
        <w:r w:rsidRPr="00DE4E3A">
          <w:rPr>
            <w:rFonts w:ascii="Times New Roman" w:eastAsia="Times New Roman" w:hAnsi="Times New Roman" w:cs="Times New Roman"/>
            <w:color w:val="07529A"/>
            <w:kern w:val="0"/>
            <w:u w:val="single"/>
            <w:lang w:eastAsia="de-DE"/>
            <w14:ligatures w14:val="none"/>
          </w:rPr>
          <w:t>Full</w:t>
        </w:r>
        <w:proofErr w:type="spellEnd"/>
        <w:r w:rsidRPr="00DE4E3A">
          <w:rPr>
            <w:rFonts w:ascii="Times New Roman" w:eastAsia="Times New Roman" w:hAnsi="Times New Roman" w:cs="Times New Roman"/>
            <w:color w:val="07529A"/>
            <w:kern w:val="0"/>
            <w:u w:val="single"/>
            <w:lang w:eastAsia="de-DE"/>
            <w14:ligatures w14:val="none"/>
          </w:rPr>
          <w:t xml:space="preserve"> Text</w:t>
        </w:r>
      </w:hyperlink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.</w:t>
      </w:r>
    </w:p>
    <w:p w14:paraId="748A5ACA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Keine Experimente. Die Revolution 1917 in Russlands Geschichtspolitik.  In: Osteuropa 67, 6-8 2017.</w:t>
      </w:r>
    </w:p>
    <w:p w14:paraId="7AC9EEF7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Verordnete Versöhnung: Geschichtspolitische und gesellschaftliche Perspektiven auf die Russische Revolution. In: </w:t>
      </w:r>
      <w:proofErr w:type="gram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JGO</w:t>
      </w:r>
      <w:proofErr w:type="gram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 Bd. 65, Heft 2, 2017, S. 295-305.</w:t>
      </w:r>
    </w:p>
    <w:p w14:paraId="2FE1760A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lastRenderedPageBreak/>
        <w:t>Hundert Jahre Russische Revolution: Das Jahr 1917 in der aktuellen Geschichtspolitik Russlands. In: Mayer, Tilman/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Reuschenbach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, Julia (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Hg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.): 1917. 100 Jahre Oktoberrevolution und ihre Fernwirkungen auf Deutschland. Baden-Baden 2017, 85-94.</w:t>
      </w:r>
    </w:p>
    <w:p w14:paraId="777A1E4B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Der Große Vaterländische Krieg in der Erinnerungskultur (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Gnose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, 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Dekoder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, 2017). 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fldChar w:fldCharType="begin"/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instrText>HYPERLINK "https://www.dekoder.org/de/gnose/erinnerungskultur-grosser-vaterlaendischer-krieg-sowjetunion" \o "" \t "_blank"</w:instrText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fldChar w:fldCharType="separate"/>
      </w:r>
      <w:r w:rsidRPr="00DE4E3A">
        <w:rPr>
          <w:rFonts w:ascii="Times New Roman" w:eastAsia="Times New Roman" w:hAnsi="Times New Roman" w:cs="Times New Roman"/>
          <w:color w:val="07529A"/>
          <w:kern w:val="0"/>
          <w:u w:val="single"/>
          <w:lang w:eastAsia="de-DE"/>
          <w14:ligatures w14:val="none"/>
        </w:rPr>
        <w:t>Full</w:t>
      </w:r>
      <w:proofErr w:type="spellEnd"/>
      <w:r w:rsidRPr="00DE4E3A">
        <w:rPr>
          <w:rFonts w:ascii="Times New Roman" w:eastAsia="Times New Roman" w:hAnsi="Times New Roman" w:cs="Times New Roman"/>
          <w:color w:val="07529A"/>
          <w:kern w:val="0"/>
          <w:u w:val="single"/>
          <w:lang w:eastAsia="de-DE"/>
          <w14:ligatures w14:val="none"/>
        </w:rPr>
        <w:t xml:space="preserve"> Text</w:t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fldChar w:fldCharType="end"/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.</w:t>
      </w:r>
    </w:p>
    <w:p w14:paraId="22E91A16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Hinter der Fassade: Der 9. Mai in Russland. (Erinnerungskulturen. Blog der GSOSES, 2017). 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fldChar w:fldCharType="begin"/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instrText>HYPERLINK "https://erinnerung.hypotheses.org/1279" \o "" \t "_blank"</w:instrText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fldChar w:fldCharType="separate"/>
      </w:r>
      <w:r w:rsidRPr="00DE4E3A">
        <w:rPr>
          <w:rFonts w:ascii="Times New Roman" w:eastAsia="Times New Roman" w:hAnsi="Times New Roman" w:cs="Times New Roman"/>
          <w:color w:val="07529A"/>
          <w:kern w:val="0"/>
          <w:u w:val="single"/>
          <w:lang w:eastAsia="de-DE"/>
          <w14:ligatures w14:val="none"/>
        </w:rPr>
        <w:t>Full</w:t>
      </w:r>
      <w:proofErr w:type="spellEnd"/>
      <w:r w:rsidRPr="00DE4E3A">
        <w:rPr>
          <w:rFonts w:ascii="Times New Roman" w:eastAsia="Times New Roman" w:hAnsi="Times New Roman" w:cs="Times New Roman"/>
          <w:color w:val="07529A"/>
          <w:kern w:val="0"/>
          <w:u w:val="single"/>
          <w:lang w:eastAsia="de-DE"/>
          <w14:ligatures w14:val="none"/>
        </w:rPr>
        <w:t xml:space="preserve"> Text</w:t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fldChar w:fldCharType="end"/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.</w:t>
      </w:r>
    </w:p>
    <w:p w14:paraId="639A74C3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Der 9. Mai in Berlin: Gedenkfeier als Protest und Selbstvergewisserung (Erinnerungskulturen. Blog der GSOSES, 2015). 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fldChar w:fldCharType="begin"/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instrText>HYPERLINK "https://erinnerung.hypotheses.org/144" \o "" \t "_blank"</w:instrText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fldChar w:fldCharType="separate"/>
      </w:r>
      <w:r w:rsidRPr="00DE4E3A">
        <w:rPr>
          <w:rFonts w:ascii="Times New Roman" w:eastAsia="Times New Roman" w:hAnsi="Times New Roman" w:cs="Times New Roman"/>
          <w:color w:val="07529A"/>
          <w:kern w:val="0"/>
          <w:u w:val="single"/>
          <w:lang w:eastAsia="de-DE"/>
          <w14:ligatures w14:val="none"/>
        </w:rPr>
        <w:t>Full</w:t>
      </w:r>
      <w:proofErr w:type="spellEnd"/>
      <w:r w:rsidRPr="00DE4E3A">
        <w:rPr>
          <w:rFonts w:ascii="Times New Roman" w:eastAsia="Times New Roman" w:hAnsi="Times New Roman" w:cs="Times New Roman"/>
          <w:color w:val="07529A"/>
          <w:kern w:val="0"/>
          <w:u w:val="single"/>
          <w:lang w:eastAsia="de-DE"/>
          <w14:ligatures w14:val="none"/>
        </w:rPr>
        <w:t xml:space="preserve"> Text</w:t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fldChar w:fldCharType="end"/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.</w:t>
      </w:r>
    </w:p>
    <w:p w14:paraId="377E5493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Ein Fest für wen? Erinnern an den Krieg in Russland (Erinnerungskulturen. Blog der GSOSES, 2015). 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fldChar w:fldCharType="begin"/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instrText>HYPERLINK "https://erinnerung.hypotheses.org/48" \o "" \t "_blank"</w:instrText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fldChar w:fldCharType="separate"/>
      </w:r>
      <w:r w:rsidRPr="00DE4E3A">
        <w:rPr>
          <w:rFonts w:ascii="Times New Roman" w:eastAsia="Times New Roman" w:hAnsi="Times New Roman" w:cs="Times New Roman"/>
          <w:color w:val="07529A"/>
          <w:kern w:val="0"/>
          <w:u w:val="single"/>
          <w:lang w:eastAsia="de-DE"/>
          <w14:ligatures w14:val="none"/>
        </w:rPr>
        <w:t>Full</w:t>
      </w:r>
      <w:proofErr w:type="spellEnd"/>
      <w:r w:rsidRPr="00DE4E3A">
        <w:rPr>
          <w:rFonts w:ascii="Times New Roman" w:eastAsia="Times New Roman" w:hAnsi="Times New Roman" w:cs="Times New Roman"/>
          <w:color w:val="07529A"/>
          <w:kern w:val="0"/>
          <w:u w:val="single"/>
          <w:lang w:eastAsia="de-DE"/>
          <w14:ligatures w14:val="none"/>
        </w:rPr>
        <w:t xml:space="preserve"> Text</w:t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fldChar w:fldCharType="end"/>
      </w: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.</w:t>
      </w:r>
    </w:p>
    <w:p w14:paraId="047F6F49" w14:textId="77777777" w:rsidR="00DE4E3A" w:rsidRP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Räume der Trauer – Stätten, die schweigen. Symbolische Ausgestaltung und rituelle Praktiken des Gedenkens an die Opfer des Stalinistischen Terrors in 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Levašovo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 und 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Sandormoch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. In: 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Ganzenmüller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, Jörg, Utz, Raphael: Sowjetische Verbrechen und russische Erinnerung. Orte – Akteure – Deutungen. </w:t>
      </w:r>
      <w:proofErr w:type="spellStart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Oldenbourg</w:t>
      </w:r>
      <w:proofErr w:type="spellEnd"/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 xml:space="preserve"> 2014. S. 31-58.</w:t>
      </w:r>
    </w:p>
    <w:p w14:paraId="27DCFBDE" w14:textId="77777777" w:rsidR="00DE4E3A" w:rsidRDefault="00DE4E3A" w:rsidP="00DE4E3A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 w:rsidRPr="00DE4E3A"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Auf der Suche nach der verlorenen Heimat: Das gesellschaftliche Erinnern an das 20. Jahrhundert im heutigen Russland. In: Zedler, Jörg (Hrsg.): "Was die Welt im Innersten zusammenhält". Gesellschaftlich-staatliche Kohäsionskräfte im 19. und 20. Jahrhundert. München 2014. S. 77-104.</w:t>
      </w:r>
    </w:p>
    <w:p w14:paraId="4C19B064" w14:textId="730B5881" w:rsidR="00DE4E3A" w:rsidRPr="00DE4E3A" w:rsidRDefault="00DE4E3A" w:rsidP="00DE4E3A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color w:val="1A181B"/>
          <w:kern w:val="0"/>
          <w:lang w:eastAsia="de-DE"/>
          <w14:ligatures w14:val="none"/>
        </w:rPr>
        <w:t>sowie:</w:t>
      </w:r>
    </w:p>
    <w:p w14:paraId="229CA0F8" w14:textId="46893494" w:rsidR="00DE4E3A" w:rsidRPr="00DE4E3A" w:rsidRDefault="00DE4E3A">
      <w:pPr>
        <w:rPr>
          <w:rFonts w:ascii="Times New Roman" w:hAnsi="Times New Roman" w:cs="Times New Roman"/>
        </w:rPr>
      </w:pPr>
      <w:hyperlink r:id="rId6" w:history="1">
        <w:r w:rsidRPr="00DE4E3A">
          <w:rPr>
            <w:rStyle w:val="Hyperlink"/>
            <w:rFonts w:ascii="Times New Roman" w:hAnsi="Times New Roman" w:cs="Times New Roman"/>
            <w:b/>
            <w:bCs/>
            <w:color w:val="222222"/>
            <w:u w:val="none"/>
          </w:rPr>
          <w:t xml:space="preserve">Rainer </w:t>
        </w:r>
        <w:proofErr w:type="spellStart"/>
        <w:r w:rsidRPr="00DE4E3A">
          <w:rPr>
            <w:rStyle w:val="Hyperlink"/>
            <w:rFonts w:ascii="Times New Roman" w:hAnsi="Times New Roman" w:cs="Times New Roman"/>
            <w:b/>
            <w:bCs/>
            <w:color w:val="222222"/>
            <w:u w:val="none"/>
          </w:rPr>
          <w:t>Bendick</w:t>
        </w:r>
        <w:proofErr w:type="spellEnd"/>
      </w:hyperlink>
      <w:r w:rsidRPr="00DE4E3A">
        <w:rPr>
          <w:rFonts w:ascii="Times New Roman" w:hAnsi="Times New Roman" w:cs="Times New Roman"/>
          <w:b/>
          <w:bCs/>
          <w:color w:val="222222"/>
        </w:rPr>
        <w:t>,</w:t>
      </w:r>
      <w:r w:rsidRPr="00DE4E3A">
        <w:rPr>
          <w:rStyle w:val="apple-converted-space"/>
          <w:rFonts w:ascii="Times New Roman" w:hAnsi="Times New Roman" w:cs="Times New Roman"/>
          <w:b/>
          <w:bCs/>
          <w:color w:val="222222"/>
        </w:rPr>
        <w:t> </w:t>
      </w:r>
      <w:hyperlink r:id="rId7" w:history="1">
        <w:r w:rsidRPr="00DE4E3A">
          <w:rPr>
            <w:rStyle w:val="Hyperlink"/>
            <w:rFonts w:ascii="Times New Roman" w:hAnsi="Times New Roman" w:cs="Times New Roman"/>
            <w:b/>
            <w:bCs/>
            <w:color w:val="222222"/>
            <w:u w:val="none"/>
          </w:rPr>
          <w:t>Philipp Bürger</w:t>
        </w:r>
      </w:hyperlink>
      <w:r w:rsidRPr="00DE4E3A">
        <w:rPr>
          <w:rFonts w:ascii="Times New Roman" w:hAnsi="Times New Roman" w:cs="Times New Roman"/>
          <w:b/>
          <w:bCs/>
          <w:color w:val="222222"/>
        </w:rPr>
        <w:t>,</w:t>
      </w:r>
      <w:r w:rsidRPr="00DE4E3A">
        <w:rPr>
          <w:rStyle w:val="apple-converted-space"/>
          <w:rFonts w:ascii="Times New Roman" w:hAnsi="Times New Roman" w:cs="Times New Roman"/>
          <w:b/>
          <w:bCs/>
          <w:color w:val="222222"/>
        </w:rPr>
        <w:t> </w:t>
      </w:r>
      <w:hyperlink r:id="rId8" w:history="1">
        <w:r w:rsidRPr="00DE4E3A">
          <w:rPr>
            <w:rStyle w:val="Hyperlink"/>
            <w:rFonts w:ascii="Times New Roman" w:hAnsi="Times New Roman" w:cs="Times New Roman"/>
            <w:b/>
            <w:bCs/>
            <w:color w:val="222222"/>
            <w:u w:val="none"/>
          </w:rPr>
          <w:t xml:space="preserve">Jan </w:t>
        </w:r>
        <w:proofErr w:type="spellStart"/>
        <w:r w:rsidRPr="00DE4E3A">
          <w:rPr>
            <w:rStyle w:val="Hyperlink"/>
            <w:rFonts w:ascii="Times New Roman" w:hAnsi="Times New Roman" w:cs="Times New Roman"/>
            <w:b/>
            <w:bCs/>
            <w:color w:val="222222"/>
            <w:u w:val="none"/>
          </w:rPr>
          <w:t>Plamper</w:t>
        </w:r>
        <w:proofErr w:type="spellEnd"/>
      </w:hyperlink>
      <w:r w:rsidRPr="00DE4E3A">
        <w:rPr>
          <w:rFonts w:ascii="Times New Roman" w:hAnsi="Times New Roman" w:cs="Times New Roman"/>
          <w:b/>
          <w:bCs/>
          <w:color w:val="222222"/>
        </w:rPr>
        <w:t>,</w:t>
      </w:r>
      <w:r w:rsidRPr="00DE4E3A">
        <w:rPr>
          <w:rStyle w:val="apple-converted-space"/>
          <w:rFonts w:ascii="Times New Roman" w:hAnsi="Times New Roman" w:cs="Times New Roman"/>
          <w:b/>
          <w:bCs/>
          <w:color w:val="222222"/>
        </w:rPr>
        <w:t> </w:t>
      </w:r>
      <w:hyperlink r:id="rId9" w:history="1">
        <w:r w:rsidRPr="00DE4E3A">
          <w:rPr>
            <w:rStyle w:val="Hyperlink"/>
            <w:rFonts w:ascii="Times New Roman" w:hAnsi="Times New Roman" w:cs="Times New Roman"/>
            <w:b/>
            <w:bCs/>
            <w:color w:val="222222"/>
            <w:u w:val="none"/>
          </w:rPr>
          <w:t>Michael Wagner</w:t>
        </w:r>
      </w:hyperlink>
      <w:r w:rsidRPr="00DE4E3A">
        <w:rPr>
          <w:rFonts w:ascii="Times New Roman" w:hAnsi="Times New Roman" w:cs="Times New Roman"/>
        </w:rPr>
        <w:t xml:space="preserve">:  </w:t>
      </w:r>
      <w:r w:rsidRPr="00DE4E3A">
        <w:rPr>
          <w:rFonts w:ascii="Times New Roman" w:hAnsi="Times New Roman" w:cs="Times New Roman"/>
        </w:rPr>
        <w:t>Russische Revolution 1917 und Geschichtsunterricht</w:t>
      </w:r>
      <w:r w:rsidRPr="00DE4E3A">
        <w:rPr>
          <w:rFonts w:ascii="Times New Roman" w:hAnsi="Times New Roman" w:cs="Times New Roman"/>
        </w:rPr>
        <w:t>. In: Gesichte für heute 4/2017.</w:t>
      </w:r>
    </w:p>
    <w:sectPr w:rsidR="00DE4E3A" w:rsidRPr="00DE4E3A" w:rsidSect="001930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27621"/>
    <w:multiLevelType w:val="multilevel"/>
    <w:tmpl w:val="2678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287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3A"/>
    <w:rsid w:val="00193036"/>
    <w:rsid w:val="001D4550"/>
    <w:rsid w:val="002E2B03"/>
    <w:rsid w:val="004D4DC9"/>
    <w:rsid w:val="007973BC"/>
    <w:rsid w:val="00BA2230"/>
    <w:rsid w:val="00D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C958D"/>
  <w15:chartTrackingRefBased/>
  <w15:docId w15:val="{364F3BB5-9DCE-1940-BB2B-E14D6CD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DE4E3A"/>
  </w:style>
  <w:style w:type="character" w:styleId="Hyperlink">
    <w:name w:val="Hyperlink"/>
    <w:basedOn w:val="Absatz-Standardschriftart"/>
    <w:uiPriority w:val="99"/>
    <w:semiHidden/>
    <w:unhideWhenUsed/>
    <w:rsid w:val="00DE4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echer.de/ni/search/quick_search/q/cXVlcnk9JTIySmFuK1BsYW1wZXIlMjImZmllbGQ9cGVyc29uZW4=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echer.de/ni/search/quick_search/q/cXVlcnk9JTIyUGhpbGlwcCtCJUMzJUJDcmdlciUyMiZmaWVsZD1wZXJzb25lbg==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echer.de/ni/search/quick_search/q/cXVlcnk9JTIyUmFpbmVyK0JlbmRpY2slMjImZmllbGQ9cGVyc29uZW4=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ultures-of-history.uni-jena.de/debates/nostalgia-pride-and-shame-the-many-faces-of-stalin-in-contemporary-russ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uecher.de/ni/search/quick_search/q/cXVlcnk9JTIyTWljaGFlbCtXYWduZXIlMjImZmllbGQ9cGVyc29uZW4=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Makhotina</dc:creator>
  <cp:keywords/>
  <dc:description/>
  <cp:lastModifiedBy>Ekaterina Makhotina</cp:lastModifiedBy>
  <cp:revision>1</cp:revision>
  <dcterms:created xsi:type="dcterms:W3CDTF">2023-08-28T15:14:00Z</dcterms:created>
  <dcterms:modified xsi:type="dcterms:W3CDTF">2023-08-28T15:18:00Z</dcterms:modified>
</cp:coreProperties>
</file>